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EE0CD3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DC7139">
        <w:rPr>
          <w:bCs/>
          <w:noProof w:val="0"/>
          <w:sz w:val="24"/>
          <w:szCs w:val="24"/>
        </w:rPr>
        <w:t>048</w:t>
      </w:r>
      <w:r w:rsidR="001B215E">
        <w:rPr>
          <w:bCs/>
          <w:noProof w:val="0"/>
          <w:sz w:val="24"/>
          <w:szCs w:val="24"/>
        </w:rPr>
        <w:t>80</w:t>
      </w:r>
    </w:p>
    <w:p w14:paraId="30E02940" w14:textId="2F802931"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A250D5">
        <w:rPr>
          <w:bCs/>
          <w:noProof w:val="0"/>
          <w:sz w:val="24"/>
          <w:szCs w:val="24"/>
        </w:rPr>
        <w:t xml:space="preserve">09 </w:t>
      </w:r>
      <w:r w:rsidR="00451BAE">
        <w:rPr>
          <w:bCs/>
          <w:noProof w:val="0"/>
          <w:sz w:val="24"/>
          <w:szCs w:val="24"/>
        </w:rPr>
        <w:t xml:space="preserve">– </w:t>
      </w:r>
      <w:r w:rsidR="001B38EE">
        <w:rPr>
          <w:bCs/>
          <w:noProof w:val="0"/>
          <w:sz w:val="24"/>
          <w:szCs w:val="24"/>
        </w:rPr>
        <w:t>2</w:t>
      </w:r>
      <w:r w:rsidR="00A250D5">
        <w:rPr>
          <w:bCs/>
          <w:noProof w:val="0"/>
          <w:sz w:val="24"/>
          <w:szCs w:val="24"/>
        </w:rPr>
        <w:t>0</w:t>
      </w:r>
      <w:r w:rsidR="00D64A2A">
        <w:rPr>
          <w:bCs/>
          <w:noProof w:val="0"/>
          <w:sz w:val="24"/>
          <w:szCs w:val="24"/>
        </w:rPr>
        <w:t xml:space="preserve"> </w:t>
      </w:r>
      <w:proofErr w:type="gramStart"/>
      <w:r w:rsidR="00584CB8">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CD8388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12F3B">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F2265D0"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1B215E" w:rsidRPr="001B215E">
        <w:rPr>
          <w:rFonts w:ascii="Arial" w:hAnsi="Arial" w:cs="Arial"/>
          <w:b/>
          <w:bCs/>
          <w:sz w:val="24"/>
        </w:rPr>
        <w:t>On configuration of p-</w:t>
      </w:r>
      <w:proofErr w:type="spellStart"/>
      <w:r w:rsidR="001B215E" w:rsidRPr="001B215E">
        <w:rPr>
          <w:rFonts w:ascii="Arial" w:hAnsi="Arial" w:cs="Arial"/>
          <w:b/>
          <w:bCs/>
          <w:sz w:val="24"/>
        </w:rPr>
        <w:t>MaxEUTRA</w:t>
      </w:r>
      <w:proofErr w:type="spellEnd"/>
      <w:r w:rsidR="001B215E" w:rsidRPr="001B215E">
        <w:rPr>
          <w:rFonts w:ascii="Arial" w:hAnsi="Arial" w:cs="Arial"/>
          <w:b/>
          <w:bCs/>
          <w:sz w:val="24"/>
        </w:rPr>
        <w:t xml:space="preserve"> and p-NR-FR1</w:t>
      </w:r>
    </w:p>
    <w:p w14:paraId="185FD303" w14:textId="7FE4B824" w:rsidR="00012F3B" w:rsidRDefault="00012F3B" w:rsidP="16512788">
      <w:pPr>
        <w:ind w:left="1985" w:hanging="1985"/>
        <w:rPr>
          <w:rFonts w:ascii="Arial" w:hAnsi="Arial" w:cs="Arial"/>
          <w:b/>
          <w:bCs/>
          <w:sz w:val="24"/>
        </w:rPr>
      </w:pPr>
      <w:r>
        <w:rPr>
          <w:rFonts w:ascii="Arial" w:hAnsi="Arial" w:cs="Arial"/>
          <w:b/>
          <w:bCs/>
          <w:sz w:val="24"/>
        </w:rPr>
        <w:t>Release:</w:t>
      </w:r>
      <w:r>
        <w:rPr>
          <w:rFonts w:ascii="Arial" w:hAnsi="Arial" w:cs="Arial"/>
          <w:b/>
          <w:bCs/>
          <w:sz w:val="24"/>
        </w:rPr>
        <w:tab/>
        <w:t>Rel-17</w:t>
      </w:r>
    </w:p>
    <w:p w14:paraId="5A5EFFF6" w14:textId="0DAF47BD" w:rsidR="00012F3B" w:rsidRDefault="00012F3B" w:rsidP="16512788">
      <w:pPr>
        <w:ind w:left="1985" w:hanging="1985"/>
        <w:rPr>
          <w:rFonts w:ascii="Arial" w:hAnsi="Arial" w:cs="Arial"/>
          <w:b/>
          <w:bCs/>
          <w:sz w:val="24"/>
        </w:rPr>
      </w:pPr>
      <w:r>
        <w:rPr>
          <w:rFonts w:ascii="Arial" w:hAnsi="Arial" w:cs="Arial"/>
          <w:b/>
          <w:bCs/>
          <w:sz w:val="24"/>
        </w:rPr>
        <w:t>WI:</w:t>
      </w:r>
      <w:r>
        <w:rPr>
          <w:rFonts w:ascii="Arial" w:hAnsi="Arial" w:cs="Arial"/>
          <w:b/>
          <w:bCs/>
          <w:sz w:val="24"/>
        </w:rPr>
        <w:tab/>
        <w:t>NR_RRM_enh2-Core</w:t>
      </w:r>
    </w:p>
    <w:p w14:paraId="3D825066" w14:textId="2E954761" w:rsidR="00012F3B" w:rsidRPr="00012F3B" w:rsidRDefault="00012F3B" w:rsidP="16512788">
      <w:pPr>
        <w:ind w:left="1985" w:hanging="1985"/>
        <w:rPr>
          <w:rFonts w:ascii="Arial" w:hAnsi="Arial" w:cs="Arial"/>
          <w:b/>
          <w:bCs/>
          <w:sz w:val="24"/>
          <w:szCs w:val="24"/>
        </w:rPr>
      </w:pPr>
      <w:r>
        <w:rPr>
          <w:rFonts w:ascii="Arial" w:hAnsi="Arial" w:cs="Arial"/>
          <w:b/>
          <w:bCs/>
          <w:sz w:val="24"/>
        </w:rPr>
        <w:t>Related LS:</w:t>
      </w:r>
      <w:r>
        <w:rPr>
          <w:rFonts w:ascii="Arial" w:hAnsi="Arial" w:cs="Arial"/>
          <w:b/>
          <w:bCs/>
          <w:sz w:val="24"/>
        </w:rPr>
        <w:tab/>
        <w:t>R1-2200896/R4-2202602</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0B56A889" w14:textId="77777777" w:rsidR="001B215E" w:rsidRDefault="001B215E" w:rsidP="001B215E">
      <w:r>
        <w:t xml:space="preserve">RAN5 sent an LS to RAN1, RAN2 and RAN4 on configuration of </w:t>
      </w:r>
      <w:r w:rsidRPr="00593805">
        <w:rPr>
          <w:i/>
          <w:iCs/>
        </w:rPr>
        <w:t>p-</w:t>
      </w:r>
      <w:proofErr w:type="spellStart"/>
      <w:r w:rsidRPr="00593805">
        <w:rPr>
          <w:i/>
          <w:iCs/>
        </w:rPr>
        <w:t>MaxEUTRA</w:t>
      </w:r>
      <w:proofErr w:type="spellEnd"/>
      <w:r>
        <w:t xml:space="preserve"> and </w:t>
      </w:r>
      <w:r w:rsidRPr="00593805">
        <w:rPr>
          <w:i/>
          <w:iCs/>
        </w:rPr>
        <w:t xml:space="preserve">p-NR-FR1 </w:t>
      </w:r>
      <w:r>
        <w:t xml:space="preserve">when the UE is configured with EN-DC in </w:t>
      </w:r>
      <w:hyperlink r:id="rId13" w:history="1">
        <w:r w:rsidRPr="00593805">
          <w:rPr>
            <w:rStyle w:val="Hyperlink"/>
          </w:rPr>
          <w:t>R1-2200873/R5-217995</w:t>
        </w:r>
      </w:hyperlink>
      <w:r>
        <w:t>. According to the LS: “</w:t>
      </w:r>
      <w:r w:rsidRPr="00593805">
        <w:rPr>
          <w:i/>
          <w:iCs/>
        </w:rPr>
        <w:t xml:space="preserve">There are different opinions on whether the IEs </w:t>
      </w:r>
      <w:r w:rsidRPr="00870C63">
        <w:t>p-</w:t>
      </w:r>
      <w:proofErr w:type="spellStart"/>
      <w:r w:rsidRPr="00870C63">
        <w:t>MaxEUTRA</w:t>
      </w:r>
      <w:proofErr w:type="spellEnd"/>
      <w:r w:rsidRPr="00593805">
        <w:rPr>
          <w:i/>
          <w:iCs/>
        </w:rPr>
        <w:t xml:space="preserve"> and </w:t>
      </w:r>
      <w:r w:rsidRPr="00870C63">
        <w:t>p-NR-FR1</w:t>
      </w:r>
      <w:r w:rsidRPr="00593805">
        <w:rPr>
          <w:i/>
          <w:iCs/>
        </w:rPr>
        <w:t xml:space="preserve"> shall be configured by the network when UE works in EN-DC connectivity mode</w:t>
      </w:r>
      <w:r w:rsidRPr="00593805">
        <w:t>.</w:t>
      </w:r>
      <w:r>
        <w:t>”</w:t>
      </w:r>
    </w:p>
    <w:tbl>
      <w:tblPr>
        <w:tblStyle w:val="TableGrid"/>
        <w:tblW w:w="0" w:type="auto"/>
        <w:tblLook w:val="04A0" w:firstRow="1" w:lastRow="0" w:firstColumn="1" w:lastColumn="0" w:noHBand="0" w:noVBand="1"/>
      </w:tblPr>
      <w:tblGrid>
        <w:gridCol w:w="9629"/>
      </w:tblGrid>
      <w:tr w:rsidR="001B215E" w14:paraId="786ABBB7" w14:textId="77777777" w:rsidTr="00F537D7">
        <w:tc>
          <w:tcPr>
            <w:tcW w:w="9629" w:type="dxa"/>
          </w:tcPr>
          <w:p w14:paraId="168C4EA3" w14:textId="77777777" w:rsidR="001B215E" w:rsidRPr="00593805" w:rsidRDefault="001B215E" w:rsidP="00F537D7">
            <w:pPr>
              <w:pStyle w:val="Header"/>
              <w:spacing w:afterLines="50" w:after="120"/>
              <w:rPr>
                <w:rFonts w:cs="Arial"/>
                <w:b w:val="0"/>
                <w:bCs/>
                <w:lang w:eastAsia="zh-CN"/>
              </w:rPr>
            </w:pPr>
            <w:r w:rsidRPr="00593805">
              <w:rPr>
                <w:rFonts w:cs="Arial"/>
                <w:b w:val="0"/>
                <w:bCs/>
                <w:lang w:eastAsia="zh-CN"/>
              </w:rPr>
              <w:t>According to clause 7.6.1 of TS 38.213, the IEs p-MaxEUTRA and p-NR-FR1 shall be configured to UE so that UE could determine the power transmission behaviour in the SCG, such as scaling down or dropping the transmission.</w:t>
            </w:r>
          </w:p>
          <w:p w14:paraId="1FB185E7" w14:textId="77777777" w:rsidR="001B215E" w:rsidRPr="00593805" w:rsidRDefault="001B215E" w:rsidP="00F537D7">
            <w:pPr>
              <w:pStyle w:val="Header"/>
              <w:spacing w:afterLines="50" w:after="120"/>
              <w:rPr>
                <w:rFonts w:cs="Arial"/>
                <w:lang w:eastAsia="zh-CN"/>
              </w:rPr>
            </w:pPr>
            <w:r w:rsidRPr="00593805">
              <w:rPr>
                <w:rFonts w:cs="Arial"/>
                <w:b w:val="0"/>
                <w:bCs/>
                <w:lang w:eastAsia="zh-CN"/>
              </w:rPr>
              <w:t>However there is an opinion that those IEs are indicated as optional in TS 36.331 and TS 38.331 and that UE operation for the PC 1.5 UE is specified by the normative text in TS 38.101-3 clauses 6.2B.1.1 and 6.2B.4.1.1. In addition some company believes if IEs p-MaxEUTRA and p-NR-FR1 are absent, value of 26dBm should be assumed and used as the default, although no default value is specified in TS 36.331 and TS 38.331.</w:t>
            </w:r>
          </w:p>
        </w:tc>
      </w:tr>
    </w:tbl>
    <w:p w14:paraId="31B062A7" w14:textId="6FCA0FE7" w:rsidR="001B215E" w:rsidRDefault="001B215E" w:rsidP="001B215E"/>
    <w:p w14:paraId="35D108CE" w14:textId="29505A8B" w:rsidR="001B215E" w:rsidRDefault="001661BA" w:rsidP="001B215E">
      <w:r>
        <w:t xml:space="preserve">After discussing the LS in </w:t>
      </w:r>
      <w:r w:rsidR="001B215E">
        <w:t>RAN1#108</w:t>
      </w:r>
      <w:r>
        <w:t xml:space="preserve">, RAN1 </w:t>
      </w:r>
      <w:r w:rsidR="001B215E">
        <w:t xml:space="preserve">responded to RAN5 in </w:t>
      </w:r>
      <w:hyperlink r:id="rId14" w:history="1">
        <w:r w:rsidR="001B215E" w:rsidRPr="001B215E">
          <w:rPr>
            <w:rStyle w:val="Hyperlink"/>
          </w:rPr>
          <w:t>R1-220</w:t>
        </w:r>
        <w:r w:rsidR="001B215E" w:rsidRPr="001B215E">
          <w:rPr>
            <w:rStyle w:val="Hyperlink"/>
          </w:rPr>
          <w:t>2</w:t>
        </w:r>
        <w:r w:rsidR="001B215E" w:rsidRPr="001B215E">
          <w:rPr>
            <w:rStyle w:val="Hyperlink"/>
          </w:rPr>
          <w:t>769</w:t>
        </w:r>
      </w:hyperlink>
      <w:r w:rsidR="001B215E">
        <w:t>, with the following:</w:t>
      </w:r>
    </w:p>
    <w:tbl>
      <w:tblPr>
        <w:tblStyle w:val="TableGrid"/>
        <w:tblW w:w="0" w:type="auto"/>
        <w:tblLook w:val="04A0" w:firstRow="1" w:lastRow="0" w:firstColumn="1" w:lastColumn="0" w:noHBand="0" w:noVBand="1"/>
      </w:tblPr>
      <w:tblGrid>
        <w:gridCol w:w="9629"/>
      </w:tblGrid>
      <w:tr w:rsidR="001B215E" w14:paraId="3694F74E" w14:textId="77777777" w:rsidTr="001B215E">
        <w:tc>
          <w:tcPr>
            <w:tcW w:w="9629" w:type="dxa"/>
          </w:tcPr>
          <w:p w14:paraId="0E24026A" w14:textId="77777777" w:rsidR="001B215E" w:rsidRDefault="001B215E" w:rsidP="001B215E">
            <w:pPr>
              <w:rPr>
                <w:rFonts w:ascii="Arial" w:hAnsi="Arial" w:cs="Arial"/>
                <w:lang w:eastAsia="zh-CN"/>
              </w:rPr>
            </w:pPr>
            <w:r w:rsidRPr="001205B1">
              <w:rPr>
                <w:rFonts w:ascii="Arial" w:hAnsi="Arial" w:cs="Arial"/>
                <w:b/>
                <w:lang w:eastAsia="zh-CN"/>
              </w:rPr>
              <w:t>Q1:</w:t>
            </w:r>
            <w:r>
              <w:rPr>
                <w:rFonts w:ascii="Arial" w:hAnsi="Arial" w:cs="Arial"/>
                <w:lang w:eastAsia="zh-CN"/>
              </w:rPr>
              <w:t xml:space="preserve"> W</w:t>
            </w:r>
            <w:r w:rsidRPr="00C400CC">
              <w:rPr>
                <w:rFonts w:ascii="Arial" w:hAnsi="Arial" w:cs="Arial"/>
                <w:lang w:eastAsia="zh-CN"/>
              </w:rPr>
              <w:t>hether the RAN1 specifications require that the IEs p-</w:t>
            </w:r>
            <w:proofErr w:type="spellStart"/>
            <w:r w:rsidRPr="00C400CC">
              <w:rPr>
                <w:rFonts w:ascii="Arial" w:hAnsi="Arial" w:cs="Arial"/>
                <w:lang w:eastAsia="zh-CN"/>
              </w:rPr>
              <w:t>MaxEUTRA</w:t>
            </w:r>
            <w:proofErr w:type="spellEnd"/>
            <w:r w:rsidRPr="00C400CC">
              <w:rPr>
                <w:rFonts w:ascii="Arial" w:hAnsi="Arial" w:cs="Arial"/>
                <w:lang w:eastAsia="zh-CN"/>
              </w:rPr>
              <w:t xml:space="preserve"> and p-NR-FR1 are always configured by the network when UE works in EN-DC connectivity mode.</w:t>
            </w:r>
          </w:p>
          <w:p w14:paraId="15D5651E" w14:textId="2B5A90C1" w:rsidR="001B215E" w:rsidRPr="001B215E" w:rsidRDefault="001B215E" w:rsidP="001B215E">
            <w:pPr>
              <w:rPr>
                <w:rFonts w:ascii="Arial" w:hAnsi="Arial" w:cs="Arial"/>
                <w:lang w:eastAsia="zh-CN"/>
              </w:rPr>
            </w:pPr>
            <w:r w:rsidRPr="00666105">
              <w:rPr>
                <w:rFonts w:ascii="Arial" w:hAnsi="Arial" w:cs="Arial"/>
                <w:b/>
                <w:bCs/>
                <w:lang w:eastAsia="zh-CN"/>
              </w:rPr>
              <w:t>Answer</w:t>
            </w:r>
            <w:r w:rsidRPr="00727178">
              <w:rPr>
                <w:rFonts w:ascii="Arial" w:hAnsi="Arial" w:cs="Arial"/>
                <w:lang w:eastAsia="zh-CN"/>
              </w:rPr>
              <w:t>:</w:t>
            </w:r>
            <w:r>
              <w:rPr>
                <w:rFonts w:ascii="Arial" w:hAnsi="Arial" w:cs="Arial"/>
                <w:lang w:eastAsia="zh-CN"/>
              </w:rPr>
              <w:t xml:space="preserve"> </w:t>
            </w:r>
            <w:r w:rsidRPr="006A27E2">
              <w:rPr>
                <w:rFonts w:ascii="Arial" w:hAnsi="Arial" w:cs="Arial"/>
                <w:lang w:eastAsia="zh-CN"/>
              </w:rPr>
              <w:t xml:space="preserve">there is no specified UE </w:t>
            </w:r>
            <w:proofErr w:type="spellStart"/>
            <w:r w:rsidRPr="006A27E2">
              <w:rPr>
                <w:rFonts w:ascii="Arial" w:hAnsi="Arial" w:cs="Arial"/>
                <w:lang w:eastAsia="zh-CN"/>
              </w:rPr>
              <w:t>behavior</w:t>
            </w:r>
            <w:proofErr w:type="spellEnd"/>
            <w:r w:rsidRPr="006A27E2">
              <w:rPr>
                <w:rFonts w:ascii="Arial" w:hAnsi="Arial" w:cs="Arial"/>
                <w:lang w:eastAsia="zh-CN"/>
              </w:rPr>
              <w:t xml:space="preserve"> in existing RAN1 specifications for the case where FR1-FR1 EN-DC is configured but p-</w:t>
            </w:r>
            <w:proofErr w:type="spellStart"/>
            <w:r w:rsidRPr="006A27E2">
              <w:rPr>
                <w:rFonts w:ascii="Arial" w:hAnsi="Arial" w:cs="Arial"/>
                <w:lang w:eastAsia="zh-CN"/>
              </w:rPr>
              <w:t>MaxEUTRA</w:t>
            </w:r>
            <w:proofErr w:type="spellEnd"/>
            <w:r w:rsidRPr="006A27E2">
              <w:rPr>
                <w:rFonts w:ascii="Arial" w:hAnsi="Arial" w:cs="Arial"/>
                <w:lang w:eastAsia="zh-CN"/>
              </w:rPr>
              <w:t xml:space="preserve"> or p-NR-FR1 is not configured. RAN1 may discuss potential action, if any, after RAN2/4 responses are received.</w:t>
            </w:r>
          </w:p>
        </w:tc>
      </w:tr>
    </w:tbl>
    <w:p w14:paraId="5EEBEDC4" w14:textId="2037E822" w:rsidR="001B215E" w:rsidRDefault="001B215E" w:rsidP="001B215E"/>
    <w:p w14:paraId="1BD12729" w14:textId="36039586" w:rsidR="001B215E" w:rsidRDefault="001B215E" w:rsidP="001B215E">
      <w:r>
        <w:t xml:space="preserve">The subsequent RAN4 LS received in this RAN1 meeting in </w:t>
      </w:r>
      <w:hyperlink r:id="rId15" w:history="1">
        <w:r w:rsidRPr="001B215E">
          <w:rPr>
            <w:rStyle w:val="Hyperlink"/>
          </w:rPr>
          <w:t>R1-2203038/R4-2206567</w:t>
        </w:r>
      </w:hyperlink>
      <w:r>
        <w:t xml:space="preserve"> states the following:</w:t>
      </w:r>
    </w:p>
    <w:tbl>
      <w:tblPr>
        <w:tblStyle w:val="TableGrid"/>
        <w:tblW w:w="0" w:type="auto"/>
        <w:tblLook w:val="04A0" w:firstRow="1" w:lastRow="0" w:firstColumn="1" w:lastColumn="0" w:noHBand="0" w:noVBand="1"/>
      </w:tblPr>
      <w:tblGrid>
        <w:gridCol w:w="9629"/>
      </w:tblGrid>
      <w:tr w:rsidR="001B215E" w14:paraId="7119DC10" w14:textId="77777777" w:rsidTr="001B215E">
        <w:tc>
          <w:tcPr>
            <w:tcW w:w="9629" w:type="dxa"/>
          </w:tcPr>
          <w:p w14:paraId="4C3484C1" w14:textId="77777777" w:rsidR="001B215E" w:rsidRDefault="001B215E" w:rsidP="001B215E">
            <w:pPr>
              <w:rPr>
                <w:lang w:val="en-US"/>
              </w:rPr>
            </w:pPr>
            <w:r>
              <w:rPr>
                <w:lang w:val="en-US"/>
              </w:rPr>
              <w:t>For UEs supporting dynamic power sharing</w:t>
            </w:r>
            <w:r w:rsidRPr="00EA191C">
              <w:rPr>
                <w:lang w:val="en-US"/>
              </w:rPr>
              <w:t>, RAN4 understanding is t</w:t>
            </w:r>
            <w:r>
              <w:rPr>
                <w:lang w:val="en-US"/>
              </w:rPr>
              <w:t>here is no specified UE behavio</w:t>
            </w:r>
            <w:r w:rsidRPr="00EA191C">
              <w:rPr>
                <w:lang w:val="en-US"/>
              </w:rPr>
              <w:t>r when the network does not configure p-</w:t>
            </w:r>
            <w:proofErr w:type="spellStart"/>
            <w:r w:rsidRPr="00EA191C">
              <w:rPr>
                <w:lang w:val="en-US"/>
              </w:rPr>
              <w:t>MaxEUTRA</w:t>
            </w:r>
            <w:proofErr w:type="spellEnd"/>
            <w:r w:rsidRPr="00EA191C">
              <w:rPr>
                <w:lang w:val="en-US"/>
              </w:rPr>
              <w:t xml:space="preserve"> or p-NR-FR1. It is up to RAN1 to confirm if this is a valid configuration.</w:t>
            </w:r>
            <w:r>
              <w:rPr>
                <w:lang w:val="en-US"/>
              </w:rPr>
              <w:t xml:space="preserve"> RAN4 will further discuss whether ‘infinity’ could be used as default value if these two parameters are not configured, and whether and how to capture this in the specification.</w:t>
            </w:r>
          </w:p>
          <w:p w14:paraId="7FC2D95E" w14:textId="462D111A" w:rsidR="001B215E" w:rsidRDefault="001B215E" w:rsidP="001B215E">
            <w:r w:rsidRPr="00EA191C">
              <w:rPr>
                <w:lang w:val="en-US"/>
              </w:rPr>
              <w:t xml:space="preserve">For UEs not supporting </w:t>
            </w:r>
            <w:r>
              <w:rPr>
                <w:lang w:val="en-US"/>
              </w:rPr>
              <w:t>dynamic power sharing</w:t>
            </w:r>
            <w:r w:rsidRPr="00EA191C">
              <w:rPr>
                <w:lang w:val="en-US"/>
              </w:rPr>
              <w:t>, RAN4 understanding is the UE’s transmitted power is not fully specified by RAN4. It is up to RAN1 to decide if p-</w:t>
            </w:r>
            <w:proofErr w:type="spellStart"/>
            <w:r w:rsidRPr="00EA191C">
              <w:rPr>
                <w:lang w:val="en-US"/>
              </w:rPr>
              <w:t>MaxEUTRA</w:t>
            </w:r>
            <w:proofErr w:type="spellEnd"/>
            <w:r w:rsidRPr="00EA191C">
              <w:rPr>
                <w:lang w:val="en-US"/>
              </w:rPr>
              <w:t xml:space="preserve"> or p-NR-FR1 should be configured by the network or if default values are needed.</w:t>
            </w:r>
          </w:p>
        </w:tc>
      </w:tr>
    </w:tbl>
    <w:p w14:paraId="51717D5A" w14:textId="75B65EC3" w:rsidR="00514C20" w:rsidRDefault="00514C20" w:rsidP="001B215E"/>
    <w:p w14:paraId="705E4DCE" w14:textId="77777777" w:rsidR="00514C20" w:rsidRDefault="00514C20">
      <w:pPr>
        <w:overflowPunct/>
        <w:autoSpaceDE/>
        <w:autoSpaceDN/>
        <w:adjustRightInd/>
        <w:spacing w:after="0"/>
        <w:textAlignment w:val="auto"/>
      </w:pPr>
      <w:r>
        <w:br w:type="page"/>
      </w:r>
    </w:p>
    <w:p w14:paraId="2876EEDD" w14:textId="77777777" w:rsidR="001B215E" w:rsidRDefault="001B215E" w:rsidP="001B215E"/>
    <w:p w14:paraId="10445A01" w14:textId="7BE22790" w:rsidR="00885580" w:rsidRDefault="002B609D" w:rsidP="00885580">
      <w:pPr>
        <w:pStyle w:val="Heading1"/>
      </w:pPr>
      <w:r>
        <w:t>Discussion</w:t>
      </w:r>
      <w:r w:rsidR="00CA451B">
        <w:t xml:space="preserve"> and proposal</w:t>
      </w:r>
    </w:p>
    <w:p w14:paraId="2BD8AAA9" w14:textId="061A90EB" w:rsidR="001661BA" w:rsidRDefault="001661BA" w:rsidP="001B215E">
      <w:r>
        <w:t>After receiving</w:t>
      </w:r>
      <w:r w:rsidR="005A54E5">
        <w:t xml:space="preserve"> </w:t>
      </w:r>
      <w:r>
        <w:t xml:space="preserve">the RAN4 response RAN1 should be able to reach </w:t>
      </w:r>
      <w:proofErr w:type="gramStart"/>
      <w:r>
        <w:t>the final conclusion</w:t>
      </w:r>
      <w:proofErr w:type="gramEnd"/>
      <w:r>
        <w:t xml:space="preserve"> on the discussion. From RAN4 perspective the parameters are understood not to be mandatory, and as indicated by the RAN5 LS, they are optional in the RRC specifications. </w:t>
      </w:r>
    </w:p>
    <w:p w14:paraId="1C9CA6B1" w14:textId="04715DAE" w:rsidR="001661BA" w:rsidRDefault="00CA451B" w:rsidP="001661BA">
      <w:r>
        <w:t>From RAN1 perspective</w:t>
      </w:r>
      <w:r w:rsidR="001661BA">
        <w:t xml:space="preserve">, the parameters are only relevant when the </w:t>
      </w:r>
      <w:proofErr w:type="spellStart"/>
      <w:r w:rsidR="001661BA">
        <w:t>gNB</w:t>
      </w:r>
      <w:proofErr w:type="spellEnd"/>
      <w:r w:rsidR="001661BA">
        <w:t xml:space="preserve"> wants to </w:t>
      </w:r>
      <w:proofErr w:type="spellStart"/>
      <w:r w:rsidR="001661BA">
        <w:t>configfure</w:t>
      </w:r>
      <w:proofErr w:type="spellEnd"/>
      <w:r w:rsidR="001661BA">
        <w:t xml:space="preserve"> a semi-static power sharing mode</w:t>
      </w:r>
      <w:r>
        <w:t xml:space="preserve"> and there is a valid UL transmission occasion simultaneously on the two cell groups</w:t>
      </w:r>
      <w:r w:rsidR="001661BA">
        <w:t xml:space="preserve">, or in dynamic power sharing mode the overall Tx power of one or both RATs </w:t>
      </w:r>
      <w:proofErr w:type="gramStart"/>
      <w:r w:rsidR="001661BA">
        <w:t>needs</w:t>
      </w:r>
      <w:proofErr w:type="gramEnd"/>
      <w:r w:rsidR="001661BA">
        <w:t xml:space="preserve"> to be limited below the nominal maximum for whatever reason.</w:t>
      </w:r>
      <w:r>
        <w:t xml:space="preserve"> </w:t>
      </w:r>
      <w:r w:rsidR="001661BA">
        <w:t xml:space="preserve">There is no reason to require the configuration of </w:t>
      </w:r>
      <w:r w:rsidR="001661BA" w:rsidRPr="00593805">
        <w:rPr>
          <w:i/>
          <w:iCs/>
        </w:rPr>
        <w:t>p-</w:t>
      </w:r>
      <w:proofErr w:type="spellStart"/>
      <w:r w:rsidR="001661BA" w:rsidRPr="00593805">
        <w:rPr>
          <w:i/>
          <w:iCs/>
        </w:rPr>
        <w:t>MaxEUTRA</w:t>
      </w:r>
      <w:proofErr w:type="spellEnd"/>
      <w:r w:rsidR="001661BA">
        <w:t xml:space="preserve"> and </w:t>
      </w:r>
      <w:r w:rsidR="001661BA" w:rsidRPr="00593805">
        <w:rPr>
          <w:i/>
          <w:iCs/>
        </w:rPr>
        <w:t xml:space="preserve">p-NR-FR1 </w:t>
      </w:r>
      <w:r w:rsidR="001661BA">
        <w:t xml:space="preserve">for dynamic power sharing case, or if the LTE and NR uplink transmissions are time multiplexed. Furthermore, this was not the original RAN1 intention, as agreed </w:t>
      </w:r>
      <w:proofErr w:type="spellStart"/>
      <w:r w:rsidR="001661BA">
        <w:t>iun</w:t>
      </w:r>
      <w:proofErr w:type="spellEnd"/>
      <w:r w:rsidR="001661BA">
        <w:t xml:space="preserve"> RAN1#90, where the agreement should be understood so that the </w:t>
      </w:r>
      <w:r w:rsidR="001661BA" w:rsidRPr="00593805">
        <w:rPr>
          <w:i/>
          <w:iCs/>
        </w:rPr>
        <w:t>p-</w:t>
      </w:r>
      <w:proofErr w:type="spellStart"/>
      <w:r w:rsidR="001661BA" w:rsidRPr="00593805">
        <w:rPr>
          <w:i/>
          <w:iCs/>
        </w:rPr>
        <w:t>MaxEUTRA</w:t>
      </w:r>
      <w:proofErr w:type="spellEnd"/>
      <w:r w:rsidR="001661BA">
        <w:t xml:space="preserve"> and </w:t>
      </w:r>
      <w:r w:rsidR="001661BA" w:rsidRPr="00593805">
        <w:rPr>
          <w:i/>
          <w:iCs/>
        </w:rPr>
        <w:t>p-NR-</w:t>
      </w:r>
      <w:r w:rsidR="001661BA" w:rsidRPr="009371C0">
        <w:rPr>
          <w:i/>
          <w:iCs/>
        </w:rPr>
        <w:t xml:space="preserve">FR1 </w:t>
      </w:r>
      <w:r w:rsidR="001661BA" w:rsidRPr="009371C0">
        <w:t>can be configured</w:t>
      </w:r>
      <w:r w:rsidR="001661BA">
        <w:t xml:space="preserve"> up to their upper bound. </w:t>
      </w:r>
      <w:proofErr w:type="spellStart"/>
      <w:r>
        <w:t>Judgning</w:t>
      </w:r>
      <w:proofErr w:type="spellEnd"/>
      <w:r>
        <w:t xml:space="preserve"> from the RAN4 response, there is no need for RAN1 to discuss the possible default setting when the values are not configured, as that is something under discussion in RAN4.</w:t>
      </w:r>
    </w:p>
    <w:p w14:paraId="0C23A02D" w14:textId="3F2E94BD" w:rsidR="00CA451B" w:rsidRDefault="00CA451B" w:rsidP="001661BA">
      <w:r>
        <w:rPr>
          <w:b/>
          <w:bCs/>
        </w:rPr>
        <w:t>Proposal</w:t>
      </w:r>
      <w:r>
        <w:t xml:space="preserve">: Respond to RAN5, RAN4 and RAN2 that </w:t>
      </w:r>
    </w:p>
    <w:p w14:paraId="1512F76A" w14:textId="004E79C4" w:rsidR="00CA451B" w:rsidRPr="00CA451B" w:rsidRDefault="00CA451B" w:rsidP="00CA451B">
      <w:pPr>
        <w:pStyle w:val="ListParagraph"/>
        <w:numPr>
          <w:ilvl w:val="0"/>
          <w:numId w:val="38"/>
        </w:numPr>
        <w:rPr>
          <w:sz w:val="20"/>
          <w:szCs w:val="20"/>
        </w:rPr>
      </w:pPr>
      <w:proofErr w:type="spellStart"/>
      <w:r w:rsidRPr="006A22EE">
        <w:rPr>
          <w:sz w:val="20"/>
          <w:szCs w:val="20"/>
        </w:rPr>
        <w:t>The</w:t>
      </w:r>
      <w:proofErr w:type="spellEnd"/>
      <w:r w:rsidRPr="006A22EE">
        <w:rPr>
          <w:sz w:val="20"/>
          <w:szCs w:val="20"/>
        </w:rPr>
        <w:t xml:space="preserve"> </w:t>
      </w:r>
      <w:r w:rsidR="006A22EE" w:rsidRPr="006A22EE">
        <w:rPr>
          <w:i/>
          <w:iCs/>
          <w:sz w:val="20"/>
          <w:szCs w:val="20"/>
        </w:rPr>
        <w:t>p-</w:t>
      </w:r>
      <w:proofErr w:type="spellStart"/>
      <w:r w:rsidR="006A22EE" w:rsidRPr="006A22EE">
        <w:rPr>
          <w:i/>
          <w:iCs/>
          <w:sz w:val="20"/>
          <w:szCs w:val="20"/>
        </w:rPr>
        <w:t>MaxEUTRA</w:t>
      </w:r>
      <w:proofErr w:type="spellEnd"/>
      <w:r w:rsidR="006A22EE" w:rsidRPr="006A22EE">
        <w:rPr>
          <w:sz w:val="20"/>
          <w:szCs w:val="20"/>
        </w:rPr>
        <w:t xml:space="preserve"> and </w:t>
      </w:r>
      <w:r w:rsidR="006A22EE" w:rsidRPr="006A22EE">
        <w:rPr>
          <w:i/>
          <w:iCs/>
          <w:sz w:val="20"/>
          <w:szCs w:val="20"/>
        </w:rPr>
        <w:t>p-NR-FR1</w:t>
      </w:r>
      <w:r w:rsidRPr="006A22EE">
        <w:rPr>
          <w:sz w:val="20"/>
          <w:szCs w:val="20"/>
        </w:rPr>
        <w:t xml:space="preserve"> </w:t>
      </w:r>
      <w:proofErr w:type="spellStart"/>
      <w:r w:rsidRPr="006A22EE">
        <w:rPr>
          <w:sz w:val="20"/>
          <w:szCs w:val="20"/>
        </w:rPr>
        <w:t>parameters</w:t>
      </w:r>
      <w:proofErr w:type="spellEnd"/>
      <w:r w:rsidRPr="006A22EE">
        <w:rPr>
          <w:sz w:val="20"/>
          <w:szCs w:val="20"/>
        </w:rPr>
        <w:t xml:space="preserve"> </w:t>
      </w:r>
      <w:proofErr w:type="spellStart"/>
      <w:r w:rsidRPr="006A22EE">
        <w:rPr>
          <w:sz w:val="20"/>
          <w:szCs w:val="20"/>
        </w:rPr>
        <w:t>can</w:t>
      </w:r>
      <w:proofErr w:type="spellEnd"/>
      <w:r w:rsidRPr="00CA451B">
        <w:rPr>
          <w:sz w:val="20"/>
          <w:szCs w:val="20"/>
        </w:rPr>
        <w:t xml:space="preserve"> </w:t>
      </w:r>
      <w:proofErr w:type="spellStart"/>
      <w:r w:rsidRPr="00CA451B">
        <w:rPr>
          <w:sz w:val="20"/>
          <w:szCs w:val="20"/>
        </w:rPr>
        <w:t>be</w:t>
      </w:r>
      <w:proofErr w:type="spellEnd"/>
      <w:r w:rsidRPr="00CA451B">
        <w:rPr>
          <w:sz w:val="20"/>
          <w:szCs w:val="20"/>
        </w:rPr>
        <w:t xml:space="preserve"> </w:t>
      </w:r>
      <w:proofErr w:type="spellStart"/>
      <w:r w:rsidRPr="00CA451B">
        <w:rPr>
          <w:sz w:val="20"/>
          <w:szCs w:val="20"/>
        </w:rPr>
        <w:t>used</w:t>
      </w:r>
      <w:proofErr w:type="spellEnd"/>
      <w:r w:rsidRPr="00CA451B">
        <w:rPr>
          <w:sz w:val="20"/>
          <w:szCs w:val="20"/>
        </w:rPr>
        <w:t xml:space="preserve"> to </w:t>
      </w:r>
      <w:proofErr w:type="spellStart"/>
      <w:r w:rsidRPr="00CA451B">
        <w:rPr>
          <w:sz w:val="20"/>
          <w:szCs w:val="20"/>
        </w:rPr>
        <w:t>cap</w:t>
      </w:r>
      <w:proofErr w:type="spellEnd"/>
      <w:r w:rsidRPr="00CA451B">
        <w:rPr>
          <w:sz w:val="20"/>
          <w:szCs w:val="20"/>
        </w:rPr>
        <w:t xml:space="preserve"> a </w:t>
      </w:r>
      <w:proofErr w:type="spellStart"/>
      <w:r w:rsidRPr="00CA451B">
        <w:rPr>
          <w:sz w:val="20"/>
          <w:szCs w:val="20"/>
        </w:rPr>
        <w:t>cell</w:t>
      </w:r>
      <w:proofErr w:type="spellEnd"/>
      <w:r w:rsidRPr="00CA451B">
        <w:rPr>
          <w:sz w:val="20"/>
          <w:szCs w:val="20"/>
        </w:rPr>
        <w:t xml:space="preserve"> </w:t>
      </w:r>
      <w:proofErr w:type="spellStart"/>
      <w:r w:rsidRPr="00CA451B">
        <w:rPr>
          <w:sz w:val="20"/>
          <w:szCs w:val="20"/>
        </w:rPr>
        <w:t>groups</w:t>
      </w:r>
      <w:proofErr w:type="spellEnd"/>
      <w:r w:rsidRPr="00CA451B">
        <w:rPr>
          <w:sz w:val="20"/>
          <w:szCs w:val="20"/>
        </w:rPr>
        <w:t xml:space="preserve">’ </w:t>
      </w:r>
      <w:proofErr w:type="spellStart"/>
      <w:r w:rsidRPr="00CA451B">
        <w:rPr>
          <w:sz w:val="20"/>
          <w:szCs w:val="20"/>
        </w:rPr>
        <w:t>maximum</w:t>
      </w:r>
      <w:proofErr w:type="spellEnd"/>
      <w:r w:rsidRPr="00CA451B">
        <w:rPr>
          <w:sz w:val="20"/>
          <w:szCs w:val="20"/>
        </w:rPr>
        <w:t xml:space="preserve"> </w:t>
      </w:r>
      <w:proofErr w:type="spellStart"/>
      <w:r w:rsidRPr="00CA451B">
        <w:rPr>
          <w:sz w:val="20"/>
          <w:szCs w:val="20"/>
        </w:rPr>
        <w:t>Tx</w:t>
      </w:r>
      <w:proofErr w:type="spellEnd"/>
      <w:r w:rsidRPr="00CA451B">
        <w:rPr>
          <w:sz w:val="20"/>
          <w:szCs w:val="20"/>
        </w:rPr>
        <w:t xml:space="preserve"> </w:t>
      </w:r>
      <w:proofErr w:type="spellStart"/>
      <w:r w:rsidRPr="00CA451B">
        <w:rPr>
          <w:sz w:val="20"/>
          <w:szCs w:val="20"/>
        </w:rPr>
        <w:t>powers</w:t>
      </w:r>
      <w:proofErr w:type="spellEnd"/>
      <w:r w:rsidRPr="00CA451B">
        <w:rPr>
          <w:sz w:val="20"/>
          <w:szCs w:val="20"/>
        </w:rPr>
        <w:t xml:space="preserve">, </w:t>
      </w:r>
      <w:proofErr w:type="spellStart"/>
      <w:r w:rsidRPr="00CA451B">
        <w:rPr>
          <w:sz w:val="20"/>
          <w:szCs w:val="20"/>
        </w:rPr>
        <w:t>when</w:t>
      </w:r>
      <w:proofErr w:type="spellEnd"/>
      <w:r w:rsidRPr="00CA451B">
        <w:rPr>
          <w:sz w:val="20"/>
          <w:szCs w:val="20"/>
        </w:rPr>
        <w:t xml:space="preserve"> </w:t>
      </w:r>
      <w:proofErr w:type="spellStart"/>
      <w:r w:rsidRPr="00CA451B">
        <w:rPr>
          <w:sz w:val="20"/>
          <w:szCs w:val="20"/>
        </w:rPr>
        <w:t>configured</w:t>
      </w:r>
      <w:proofErr w:type="spellEnd"/>
      <w:r w:rsidRPr="00CA451B">
        <w:rPr>
          <w:sz w:val="20"/>
          <w:szCs w:val="20"/>
        </w:rPr>
        <w:t xml:space="preserve">, </w:t>
      </w:r>
      <w:proofErr w:type="spellStart"/>
      <w:r w:rsidRPr="00CA451B">
        <w:rPr>
          <w:sz w:val="20"/>
          <w:szCs w:val="20"/>
        </w:rPr>
        <w:t>this</w:t>
      </w:r>
      <w:proofErr w:type="spellEnd"/>
      <w:r w:rsidRPr="00CA451B">
        <w:rPr>
          <w:sz w:val="20"/>
          <w:szCs w:val="20"/>
        </w:rPr>
        <w:t xml:space="preserve"> </w:t>
      </w:r>
      <w:proofErr w:type="spellStart"/>
      <w:r w:rsidRPr="00CA451B">
        <w:rPr>
          <w:sz w:val="20"/>
          <w:szCs w:val="20"/>
        </w:rPr>
        <w:t>can</w:t>
      </w:r>
      <w:proofErr w:type="spellEnd"/>
      <w:r w:rsidRPr="00CA451B">
        <w:rPr>
          <w:sz w:val="20"/>
          <w:szCs w:val="20"/>
        </w:rPr>
        <w:t xml:space="preserve"> </w:t>
      </w:r>
      <w:proofErr w:type="spellStart"/>
      <w:r w:rsidRPr="00CA451B">
        <w:rPr>
          <w:sz w:val="20"/>
          <w:szCs w:val="20"/>
        </w:rPr>
        <w:t>be</w:t>
      </w:r>
      <w:proofErr w:type="spellEnd"/>
      <w:r w:rsidRPr="00CA451B">
        <w:rPr>
          <w:sz w:val="20"/>
          <w:szCs w:val="20"/>
        </w:rPr>
        <w:t xml:space="preserve"> </w:t>
      </w:r>
      <w:proofErr w:type="spellStart"/>
      <w:r w:rsidRPr="00CA451B">
        <w:rPr>
          <w:sz w:val="20"/>
          <w:szCs w:val="20"/>
        </w:rPr>
        <w:t>either</w:t>
      </w:r>
      <w:proofErr w:type="spellEnd"/>
      <w:r w:rsidRPr="00CA451B">
        <w:rPr>
          <w:sz w:val="20"/>
          <w:szCs w:val="20"/>
        </w:rPr>
        <w:t xml:space="preserve"> </w:t>
      </w:r>
      <w:proofErr w:type="spellStart"/>
      <w:r w:rsidRPr="00CA451B">
        <w:rPr>
          <w:sz w:val="20"/>
          <w:szCs w:val="20"/>
        </w:rPr>
        <w:t>due</w:t>
      </w:r>
      <w:proofErr w:type="spellEnd"/>
      <w:r w:rsidRPr="00CA451B">
        <w:rPr>
          <w:sz w:val="20"/>
          <w:szCs w:val="20"/>
        </w:rPr>
        <w:t xml:space="preserve"> to </w:t>
      </w:r>
      <w:proofErr w:type="spellStart"/>
      <w:r w:rsidRPr="00CA451B">
        <w:rPr>
          <w:sz w:val="20"/>
          <w:szCs w:val="20"/>
        </w:rPr>
        <w:t>the</w:t>
      </w:r>
      <w:proofErr w:type="spellEnd"/>
      <w:r w:rsidRPr="00CA451B">
        <w:rPr>
          <w:sz w:val="20"/>
          <w:szCs w:val="20"/>
        </w:rPr>
        <w:t xml:space="preserve"> </w:t>
      </w:r>
      <w:proofErr w:type="spellStart"/>
      <w:r w:rsidRPr="00CA451B">
        <w:rPr>
          <w:sz w:val="20"/>
          <w:szCs w:val="20"/>
        </w:rPr>
        <w:t>need</w:t>
      </w:r>
      <w:proofErr w:type="spellEnd"/>
    </w:p>
    <w:p w14:paraId="4FBAA977" w14:textId="3200C693" w:rsidR="00CA451B" w:rsidRPr="00CA451B" w:rsidRDefault="00CA451B" w:rsidP="00CA451B">
      <w:pPr>
        <w:pStyle w:val="ListParagraph"/>
        <w:numPr>
          <w:ilvl w:val="1"/>
          <w:numId w:val="38"/>
        </w:numPr>
        <w:rPr>
          <w:sz w:val="20"/>
          <w:szCs w:val="20"/>
        </w:rPr>
      </w:pPr>
      <w:r w:rsidRPr="00CA451B">
        <w:rPr>
          <w:sz w:val="20"/>
          <w:szCs w:val="20"/>
        </w:rPr>
        <w:t xml:space="preserve">to </w:t>
      </w:r>
      <w:proofErr w:type="spellStart"/>
      <w:r w:rsidRPr="00CA451B">
        <w:rPr>
          <w:sz w:val="20"/>
          <w:szCs w:val="20"/>
        </w:rPr>
        <w:t>semi-statically</w:t>
      </w:r>
      <w:proofErr w:type="spellEnd"/>
      <w:r w:rsidRPr="00CA451B">
        <w:rPr>
          <w:sz w:val="20"/>
          <w:szCs w:val="20"/>
        </w:rPr>
        <w:t xml:space="preserve"> </w:t>
      </w:r>
      <w:proofErr w:type="spellStart"/>
      <w:r>
        <w:rPr>
          <w:sz w:val="20"/>
          <w:szCs w:val="20"/>
        </w:rPr>
        <w:t>split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total</w:t>
      </w:r>
      <w:proofErr w:type="spellEnd"/>
      <w:r>
        <w:rPr>
          <w:sz w:val="20"/>
          <w:szCs w:val="20"/>
        </w:rPr>
        <w:t xml:space="preserve"> </w:t>
      </w:r>
      <w:proofErr w:type="spellStart"/>
      <w:r>
        <w:rPr>
          <w:sz w:val="20"/>
          <w:szCs w:val="20"/>
        </w:rPr>
        <w:t>Tx</w:t>
      </w:r>
      <w:proofErr w:type="spellEnd"/>
      <w:r>
        <w:rPr>
          <w:sz w:val="20"/>
          <w:szCs w:val="20"/>
        </w:rPr>
        <w:t xml:space="preserve"> </w:t>
      </w:r>
      <w:proofErr w:type="spellStart"/>
      <w:r>
        <w:rPr>
          <w:sz w:val="20"/>
          <w:szCs w:val="20"/>
        </w:rPr>
        <w:t>power</w:t>
      </w:r>
      <w:proofErr w:type="spellEnd"/>
      <w:r>
        <w:rPr>
          <w:sz w:val="20"/>
          <w:szCs w:val="20"/>
        </w:rPr>
        <w:t xml:space="preserve"> </w:t>
      </w:r>
      <w:proofErr w:type="spellStart"/>
      <w:r>
        <w:rPr>
          <w:sz w:val="20"/>
          <w:szCs w:val="20"/>
        </w:rPr>
        <w:t>budget</w:t>
      </w:r>
      <w:proofErr w:type="spellEnd"/>
      <w:r>
        <w:rPr>
          <w:sz w:val="20"/>
          <w:szCs w:val="20"/>
        </w:rPr>
        <w:t xml:space="preserve"> </w:t>
      </w:r>
      <w:proofErr w:type="spellStart"/>
      <w:r>
        <w:rPr>
          <w:sz w:val="20"/>
          <w:szCs w:val="20"/>
        </w:rPr>
        <w:t>between</w:t>
      </w:r>
      <w:proofErr w:type="spellEnd"/>
      <w:r>
        <w:rPr>
          <w:sz w:val="20"/>
          <w:szCs w:val="20"/>
        </w:rPr>
        <w:t xml:space="preserve"> </w:t>
      </w:r>
      <w:proofErr w:type="spellStart"/>
      <w:r>
        <w:rPr>
          <w:sz w:val="20"/>
          <w:szCs w:val="20"/>
        </w:rPr>
        <w:t>the</w:t>
      </w:r>
      <w:proofErr w:type="spellEnd"/>
      <w:r w:rsidRPr="00CA451B">
        <w:rPr>
          <w:sz w:val="20"/>
          <w:szCs w:val="20"/>
        </w:rPr>
        <w:t xml:space="preserve"> </w:t>
      </w:r>
      <w:proofErr w:type="spellStart"/>
      <w:r w:rsidRPr="00CA451B">
        <w:rPr>
          <w:sz w:val="20"/>
          <w:szCs w:val="20"/>
        </w:rPr>
        <w:t>cell</w:t>
      </w:r>
      <w:proofErr w:type="spellEnd"/>
      <w:r w:rsidRPr="00CA451B">
        <w:rPr>
          <w:sz w:val="20"/>
          <w:szCs w:val="20"/>
        </w:rPr>
        <w:t xml:space="preserve"> </w:t>
      </w:r>
      <w:proofErr w:type="spellStart"/>
      <w:r w:rsidRPr="00CA451B">
        <w:rPr>
          <w:sz w:val="20"/>
          <w:szCs w:val="20"/>
        </w:rPr>
        <w:t>group</w:t>
      </w:r>
      <w:r>
        <w:rPr>
          <w:sz w:val="20"/>
          <w:szCs w:val="20"/>
        </w:rPr>
        <w:t>s</w:t>
      </w:r>
      <w:proofErr w:type="spellEnd"/>
      <w:r w:rsidRPr="00CA451B">
        <w:rPr>
          <w:sz w:val="20"/>
          <w:szCs w:val="20"/>
        </w:rPr>
        <w:t xml:space="preserve"> (</w:t>
      </w:r>
      <w:proofErr w:type="spellStart"/>
      <w:r w:rsidRPr="00CA451B">
        <w:rPr>
          <w:sz w:val="20"/>
          <w:szCs w:val="20"/>
        </w:rPr>
        <w:t>some</w:t>
      </w:r>
      <w:proofErr w:type="spellEnd"/>
      <w:r w:rsidRPr="00CA451B">
        <w:rPr>
          <w:sz w:val="20"/>
          <w:szCs w:val="20"/>
        </w:rPr>
        <w:t xml:space="preserve"> </w:t>
      </w:r>
      <w:proofErr w:type="spellStart"/>
      <w:r w:rsidRPr="00CA451B">
        <w:rPr>
          <w:sz w:val="20"/>
          <w:szCs w:val="20"/>
        </w:rPr>
        <w:t>power</w:t>
      </w:r>
      <w:proofErr w:type="spellEnd"/>
      <w:r w:rsidRPr="00CA451B">
        <w:rPr>
          <w:sz w:val="20"/>
          <w:szCs w:val="20"/>
        </w:rPr>
        <w:t xml:space="preserve"> </w:t>
      </w:r>
      <w:proofErr w:type="spellStart"/>
      <w:r w:rsidRPr="00CA451B">
        <w:rPr>
          <w:sz w:val="20"/>
          <w:szCs w:val="20"/>
        </w:rPr>
        <w:t>sharing</w:t>
      </w:r>
      <w:proofErr w:type="spellEnd"/>
      <w:r w:rsidRPr="00CA451B">
        <w:rPr>
          <w:sz w:val="20"/>
          <w:szCs w:val="20"/>
        </w:rPr>
        <w:t xml:space="preserve"> </w:t>
      </w:r>
      <w:proofErr w:type="spellStart"/>
      <w:r w:rsidRPr="00CA451B">
        <w:rPr>
          <w:sz w:val="20"/>
          <w:szCs w:val="20"/>
        </w:rPr>
        <w:t>modes</w:t>
      </w:r>
      <w:proofErr w:type="spellEnd"/>
      <w:r w:rsidRPr="00CA451B">
        <w:rPr>
          <w:sz w:val="20"/>
          <w:szCs w:val="20"/>
        </w:rPr>
        <w:t xml:space="preserve">), </w:t>
      </w:r>
      <w:proofErr w:type="spellStart"/>
      <w:r w:rsidRPr="00CA451B">
        <w:rPr>
          <w:sz w:val="20"/>
          <w:szCs w:val="20"/>
        </w:rPr>
        <w:t>or</w:t>
      </w:r>
      <w:proofErr w:type="spellEnd"/>
      <w:r w:rsidRPr="00CA451B">
        <w:rPr>
          <w:sz w:val="20"/>
          <w:szCs w:val="20"/>
        </w:rPr>
        <w:t xml:space="preserve"> </w:t>
      </w:r>
    </w:p>
    <w:p w14:paraId="790CF092" w14:textId="1075ACCF" w:rsidR="00CA451B" w:rsidRPr="00CA451B" w:rsidRDefault="00CA451B" w:rsidP="00CA451B">
      <w:pPr>
        <w:pStyle w:val="ListParagraph"/>
        <w:numPr>
          <w:ilvl w:val="1"/>
          <w:numId w:val="38"/>
        </w:numPr>
        <w:rPr>
          <w:sz w:val="20"/>
          <w:szCs w:val="20"/>
        </w:rPr>
      </w:pPr>
      <w:r w:rsidRPr="00CA451B">
        <w:rPr>
          <w:sz w:val="20"/>
          <w:szCs w:val="20"/>
        </w:rPr>
        <w:t xml:space="preserve">to </w:t>
      </w:r>
      <w:proofErr w:type="spellStart"/>
      <w:r w:rsidRPr="00CA451B">
        <w:rPr>
          <w:sz w:val="20"/>
          <w:szCs w:val="20"/>
        </w:rPr>
        <w:t>limit</w:t>
      </w:r>
      <w:proofErr w:type="spellEnd"/>
      <w:r w:rsidRPr="00CA451B">
        <w:rPr>
          <w:sz w:val="20"/>
          <w:szCs w:val="20"/>
        </w:rPr>
        <w:t xml:space="preserve"> </w:t>
      </w:r>
      <w:proofErr w:type="spellStart"/>
      <w:r w:rsidRPr="00CA451B">
        <w:rPr>
          <w:sz w:val="20"/>
          <w:szCs w:val="20"/>
        </w:rPr>
        <w:t>individual</w:t>
      </w:r>
      <w:proofErr w:type="spellEnd"/>
      <w:r w:rsidRPr="00CA451B">
        <w:rPr>
          <w:sz w:val="20"/>
          <w:szCs w:val="20"/>
        </w:rPr>
        <w:t xml:space="preserve"> </w:t>
      </w:r>
      <w:proofErr w:type="spellStart"/>
      <w:r w:rsidRPr="00CA451B">
        <w:rPr>
          <w:sz w:val="20"/>
          <w:szCs w:val="20"/>
        </w:rPr>
        <w:t>cell</w:t>
      </w:r>
      <w:proofErr w:type="spellEnd"/>
      <w:r w:rsidRPr="00CA451B">
        <w:rPr>
          <w:sz w:val="20"/>
          <w:szCs w:val="20"/>
        </w:rPr>
        <w:t xml:space="preserve"> </w:t>
      </w:r>
      <w:proofErr w:type="spellStart"/>
      <w:r w:rsidRPr="00CA451B">
        <w:rPr>
          <w:sz w:val="20"/>
          <w:szCs w:val="20"/>
        </w:rPr>
        <w:t>groups</w:t>
      </w:r>
      <w:proofErr w:type="spellEnd"/>
      <w:r w:rsidRPr="00CA451B">
        <w:rPr>
          <w:sz w:val="20"/>
          <w:szCs w:val="20"/>
        </w:rPr>
        <w:t xml:space="preserve"> </w:t>
      </w:r>
      <w:proofErr w:type="spellStart"/>
      <w:r w:rsidRPr="00CA451B">
        <w:rPr>
          <w:sz w:val="20"/>
          <w:szCs w:val="20"/>
        </w:rPr>
        <w:t>Tx</w:t>
      </w:r>
      <w:proofErr w:type="spellEnd"/>
      <w:r w:rsidRPr="00CA451B">
        <w:rPr>
          <w:sz w:val="20"/>
          <w:szCs w:val="20"/>
        </w:rPr>
        <w:t xml:space="preserve"> </w:t>
      </w:r>
      <w:proofErr w:type="spellStart"/>
      <w:r w:rsidRPr="00CA451B">
        <w:rPr>
          <w:sz w:val="20"/>
          <w:szCs w:val="20"/>
        </w:rPr>
        <w:t>power</w:t>
      </w:r>
      <w:proofErr w:type="spellEnd"/>
      <w:r w:rsidRPr="00CA451B">
        <w:rPr>
          <w:sz w:val="20"/>
          <w:szCs w:val="20"/>
        </w:rPr>
        <w:t xml:space="preserve"> </w:t>
      </w:r>
      <w:proofErr w:type="spellStart"/>
      <w:r w:rsidRPr="00CA451B">
        <w:rPr>
          <w:sz w:val="20"/>
          <w:szCs w:val="20"/>
        </w:rPr>
        <w:t>due</w:t>
      </w:r>
      <w:proofErr w:type="spellEnd"/>
      <w:r w:rsidRPr="00CA451B">
        <w:rPr>
          <w:sz w:val="20"/>
          <w:szCs w:val="20"/>
        </w:rPr>
        <w:t xml:space="preserve"> emission </w:t>
      </w:r>
      <w:proofErr w:type="spellStart"/>
      <w:r w:rsidRPr="00CA451B">
        <w:rPr>
          <w:sz w:val="20"/>
          <w:szCs w:val="20"/>
        </w:rPr>
        <w:t>caps</w:t>
      </w:r>
      <w:proofErr w:type="spellEnd"/>
      <w:r w:rsidRPr="00CA451B">
        <w:rPr>
          <w:sz w:val="20"/>
          <w:szCs w:val="20"/>
        </w:rPr>
        <w:t xml:space="preserve"> </w:t>
      </w:r>
      <w:proofErr w:type="spellStart"/>
      <w:r w:rsidRPr="00CA451B">
        <w:rPr>
          <w:sz w:val="20"/>
          <w:szCs w:val="20"/>
        </w:rPr>
        <w:t>related</w:t>
      </w:r>
      <w:proofErr w:type="spellEnd"/>
      <w:r w:rsidRPr="00CA451B">
        <w:rPr>
          <w:sz w:val="20"/>
          <w:szCs w:val="20"/>
        </w:rPr>
        <w:t xml:space="preserve"> to </w:t>
      </w:r>
      <w:proofErr w:type="spellStart"/>
      <w:r w:rsidRPr="00CA451B">
        <w:rPr>
          <w:sz w:val="20"/>
          <w:szCs w:val="20"/>
        </w:rPr>
        <w:t>the</w:t>
      </w:r>
      <w:proofErr w:type="spellEnd"/>
      <w:r w:rsidRPr="00CA451B">
        <w:rPr>
          <w:sz w:val="20"/>
          <w:szCs w:val="20"/>
        </w:rPr>
        <w:t xml:space="preserve"> </w:t>
      </w:r>
      <w:proofErr w:type="spellStart"/>
      <w:r w:rsidRPr="00CA451B">
        <w:rPr>
          <w:sz w:val="20"/>
          <w:szCs w:val="20"/>
        </w:rPr>
        <w:t>network’s</w:t>
      </w:r>
      <w:proofErr w:type="spellEnd"/>
      <w:r w:rsidRPr="00CA451B">
        <w:rPr>
          <w:sz w:val="20"/>
          <w:szCs w:val="20"/>
        </w:rPr>
        <w:t xml:space="preserve"> </w:t>
      </w:r>
      <w:proofErr w:type="spellStart"/>
      <w:r w:rsidRPr="00CA451B">
        <w:rPr>
          <w:sz w:val="20"/>
          <w:szCs w:val="20"/>
        </w:rPr>
        <w:t>operations</w:t>
      </w:r>
      <w:proofErr w:type="spellEnd"/>
    </w:p>
    <w:p w14:paraId="4B3C5404" w14:textId="7D9A083C" w:rsidR="00CA451B" w:rsidRDefault="00CA451B" w:rsidP="00CA451B">
      <w:pPr>
        <w:pStyle w:val="ListParagraph"/>
        <w:numPr>
          <w:ilvl w:val="0"/>
          <w:numId w:val="38"/>
        </w:numPr>
        <w:rPr>
          <w:sz w:val="20"/>
          <w:szCs w:val="20"/>
        </w:rPr>
      </w:pPr>
      <w:r w:rsidRPr="00CA451B">
        <w:rPr>
          <w:sz w:val="20"/>
          <w:szCs w:val="20"/>
        </w:rPr>
        <w:t xml:space="preserve">If </w:t>
      </w:r>
      <w:proofErr w:type="spellStart"/>
      <w:r w:rsidRPr="00CA451B">
        <w:rPr>
          <w:sz w:val="20"/>
          <w:szCs w:val="20"/>
        </w:rPr>
        <w:t>neither</w:t>
      </w:r>
      <w:proofErr w:type="spellEnd"/>
      <w:r w:rsidRPr="00CA451B">
        <w:rPr>
          <w:sz w:val="20"/>
          <w:szCs w:val="20"/>
        </w:rPr>
        <w:t xml:space="preserve"> of </w:t>
      </w:r>
      <w:proofErr w:type="spellStart"/>
      <w:r w:rsidRPr="00CA451B">
        <w:rPr>
          <w:sz w:val="20"/>
          <w:szCs w:val="20"/>
        </w:rPr>
        <w:t>the</w:t>
      </w:r>
      <w:proofErr w:type="spellEnd"/>
      <w:r w:rsidRPr="00CA451B">
        <w:rPr>
          <w:sz w:val="20"/>
          <w:szCs w:val="20"/>
        </w:rPr>
        <w:t xml:space="preserve"> </w:t>
      </w:r>
      <w:proofErr w:type="spellStart"/>
      <w:r w:rsidRPr="00CA451B">
        <w:rPr>
          <w:sz w:val="20"/>
          <w:szCs w:val="20"/>
        </w:rPr>
        <w:t>two</w:t>
      </w:r>
      <w:proofErr w:type="spellEnd"/>
      <w:r w:rsidRPr="00CA451B">
        <w:rPr>
          <w:sz w:val="20"/>
          <w:szCs w:val="20"/>
        </w:rPr>
        <w:t xml:space="preserve"> </w:t>
      </w:r>
      <w:proofErr w:type="spellStart"/>
      <w:r w:rsidRPr="00CA451B">
        <w:rPr>
          <w:sz w:val="20"/>
          <w:szCs w:val="20"/>
        </w:rPr>
        <w:t>reasons</w:t>
      </w:r>
      <w:proofErr w:type="spellEnd"/>
      <w:r w:rsidRPr="00CA451B">
        <w:rPr>
          <w:sz w:val="20"/>
          <w:szCs w:val="20"/>
        </w:rPr>
        <w:t xml:space="preserve"> </w:t>
      </w:r>
      <w:proofErr w:type="spellStart"/>
      <w:r w:rsidRPr="00CA451B">
        <w:rPr>
          <w:sz w:val="20"/>
          <w:szCs w:val="20"/>
        </w:rPr>
        <w:t>exist</w:t>
      </w:r>
      <w:proofErr w:type="spellEnd"/>
      <w:r w:rsidRPr="00CA451B">
        <w:rPr>
          <w:sz w:val="20"/>
          <w:szCs w:val="20"/>
        </w:rPr>
        <w:t xml:space="preserve"> for </w:t>
      </w:r>
      <w:proofErr w:type="spellStart"/>
      <w:r w:rsidRPr="00CA451B">
        <w:rPr>
          <w:sz w:val="20"/>
          <w:szCs w:val="20"/>
        </w:rPr>
        <w:t>capping</w:t>
      </w:r>
      <w:proofErr w:type="spellEnd"/>
      <w:r w:rsidRPr="00CA451B">
        <w:rPr>
          <w:sz w:val="20"/>
          <w:szCs w:val="20"/>
        </w:rPr>
        <w:t xml:space="preserve"> </w:t>
      </w:r>
      <w:proofErr w:type="spellStart"/>
      <w:r w:rsidRPr="00CA451B">
        <w:rPr>
          <w:sz w:val="20"/>
          <w:szCs w:val="20"/>
        </w:rPr>
        <w:t>one</w:t>
      </w:r>
      <w:proofErr w:type="spellEnd"/>
      <w:r w:rsidRPr="00CA451B">
        <w:rPr>
          <w:sz w:val="20"/>
          <w:szCs w:val="20"/>
        </w:rPr>
        <w:t xml:space="preserve"> </w:t>
      </w:r>
      <w:proofErr w:type="spellStart"/>
      <w:r w:rsidRPr="00CA451B">
        <w:rPr>
          <w:sz w:val="20"/>
          <w:szCs w:val="20"/>
        </w:rPr>
        <w:t>or</w:t>
      </w:r>
      <w:proofErr w:type="spellEnd"/>
      <w:r w:rsidRPr="00CA451B">
        <w:rPr>
          <w:sz w:val="20"/>
          <w:szCs w:val="20"/>
        </w:rPr>
        <w:t xml:space="preserve"> </w:t>
      </w:r>
      <w:proofErr w:type="spellStart"/>
      <w:r w:rsidRPr="00CA451B">
        <w:rPr>
          <w:sz w:val="20"/>
          <w:szCs w:val="20"/>
        </w:rPr>
        <w:t>the</w:t>
      </w:r>
      <w:proofErr w:type="spellEnd"/>
      <w:r w:rsidRPr="00CA451B">
        <w:rPr>
          <w:sz w:val="20"/>
          <w:szCs w:val="20"/>
        </w:rPr>
        <w:t xml:space="preserve"> </w:t>
      </w:r>
      <w:proofErr w:type="spellStart"/>
      <w:r w:rsidRPr="00CA451B">
        <w:rPr>
          <w:sz w:val="20"/>
          <w:szCs w:val="20"/>
        </w:rPr>
        <w:t>other</w:t>
      </w:r>
      <w:proofErr w:type="spellEnd"/>
      <w:r w:rsidRPr="00CA451B">
        <w:rPr>
          <w:sz w:val="20"/>
          <w:szCs w:val="20"/>
        </w:rPr>
        <w:t xml:space="preserve"> (</w:t>
      </w:r>
      <w:proofErr w:type="spellStart"/>
      <w:r w:rsidRPr="00CA451B">
        <w:rPr>
          <w:sz w:val="20"/>
          <w:szCs w:val="20"/>
        </w:rPr>
        <w:t>or</w:t>
      </w:r>
      <w:proofErr w:type="spellEnd"/>
      <w:r w:rsidRPr="00CA451B">
        <w:rPr>
          <w:sz w:val="20"/>
          <w:szCs w:val="20"/>
        </w:rPr>
        <w:t xml:space="preserve"> </w:t>
      </w:r>
      <w:proofErr w:type="spellStart"/>
      <w:r w:rsidRPr="00CA451B">
        <w:rPr>
          <w:sz w:val="20"/>
          <w:szCs w:val="20"/>
        </w:rPr>
        <w:t>both</w:t>
      </w:r>
      <w:proofErr w:type="spellEnd"/>
      <w:r w:rsidRPr="00CA451B">
        <w:rPr>
          <w:sz w:val="20"/>
          <w:szCs w:val="20"/>
        </w:rPr>
        <w:t xml:space="preserve">) </w:t>
      </w:r>
      <w:proofErr w:type="spellStart"/>
      <w:r w:rsidRPr="00CA451B">
        <w:rPr>
          <w:sz w:val="20"/>
          <w:szCs w:val="20"/>
        </w:rPr>
        <w:t>cell</w:t>
      </w:r>
      <w:proofErr w:type="spellEnd"/>
      <w:r w:rsidRPr="00CA451B">
        <w:rPr>
          <w:sz w:val="20"/>
          <w:szCs w:val="20"/>
        </w:rPr>
        <w:t xml:space="preserve"> </w:t>
      </w:r>
      <w:proofErr w:type="spellStart"/>
      <w:r w:rsidRPr="00CA451B">
        <w:rPr>
          <w:sz w:val="20"/>
          <w:szCs w:val="20"/>
        </w:rPr>
        <w:t>group’s</w:t>
      </w:r>
      <w:proofErr w:type="spellEnd"/>
      <w:r w:rsidRPr="00CA451B">
        <w:rPr>
          <w:sz w:val="20"/>
          <w:szCs w:val="20"/>
        </w:rPr>
        <w:t xml:space="preserve"> </w:t>
      </w:r>
      <w:proofErr w:type="spellStart"/>
      <w:r w:rsidRPr="00CA451B">
        <w:rPr>
          <w:sz w:val="20"/>
          <w:szCs w:val="20"/>
        </w:rPr>
        <w:t>Tx</w:t>
      </w:r>
      <w:proofErr w:type="spellEnd"/>
      <w:r w:rsidRPr="00CA451B">
        <w:rPr>
          <w:sz w:val="20"/>
          <w:szCs w:val="20"/>
        </w:rPr>
        <w:t xml:space="preserve"> </w:t>
      </w:r>
      <w:proofErr w:type="spellStart"/>
      <w:r w:rsidRPr="00CA451B">
        <w:rPr>
          <w:sz w:val="20"/>
          <w:szCs w:val="20"/>
        </w:rPr>
        <w:t>power</w:t>
      </w:r>
      <w:proofErr w:type="spellEnd"/>
      <w:r w:rsidRPr="00CA451B">
        <w:rPr>
          <w:sz w:val="20"/>
          <w:szCs w:val="20"/>
        </w:rPr>
        <w:t xml:space="preserve">, </w:t>
      </w:r>
      <w:proofErr w:type="spellStart"/>
      <w:r w:rsidRPr="00CA451B">
        <w:rPr>
          <w:sz w:val="20"/>
          <w:szCs w:val="20"/>
        </w:rPr>
        <w:t>there</w:t>
      </w:r>
      <w:proofErr w:type="spellEnd"/>
      <w:r w:rsidRPr="00CA451B">
        <w:rPr>
          <w:sz w:val="20"/>
          <w:szCs w:val="20"/>
        </w:rPr>
        <w:t xml:space="preserve"> is no </w:t>
      </w:r>
      <w:proofErr w:type="spellStart"/>
      <w:r w:rsidRPr="00CA451B">
        <w:rPr>
          <w:sz w:val="20"/>
          <w:szCs w:val="20"/>
        </w:rPr>
        <w:t>need</w:t>
      </w:r>
      <w:proofErr w:type="spellEnd"/>
      <w:r w:rsidRPr="00CA451B">
        <w:rPr>
          <w:sz w:val="20"/>
          <w:szCs w:val="20"/>
        </w:rPr>
        <w:t xml:space="preserve"> to </w:t>
      </w:r>
      <w:proofErr w:type="spellStart"/>
      <w:r w:rsidRPr="00CA451B">
        <w:rPr>
          <w:sz w:val="20"/>
          <w:szCs w:val="20"/>
        </w:rPr>
        <w:t>configure</w:t>
      </w:r>
      <w:proofErr w:type="spellEnd"/>
      <w:r w:rsidRPr="00CA451B">
        <w:rPr>
          <w:sz w:val="20"/>
          <w:szCs w:val="20"/>
        </w:rPr>
        <w:t xml:space="preserve"> </w:t>
      </w:r>
      <w:proofErr w:type="spellStart"/>
      <w:r w:rsidRPr="00CA451B">
        <w:rPr>
          <w:sz w:val="20"/>
          <w:szCs w:val="20"/>
        </w:rPr>
        <w:t>the</w:t>
      </w:r>
      <w:proofErr w:type="spellEnd"/>
      <w:r w:rsidRPr="00CA451B">
        <w:rPr>
          <w:sz w:val="20"/>
          <w:szCs w:val="20"/>
        </w:rPr>
        <w:t xml:space="preserve"> </w:t>
      </w:r>
      <w:proofErr w:type="spellStart"/>
      <w:r w:rsidRPr="00CA451B">
        <w:rPr>
          <w:sz w:val="20"/>
          <w:szCs w:val="20"/>
        </w:rPr>
        <w:t>two</w:t>
      </w:r>
      <w:proofErr w:type="spellEnd"/>
      <w:r w:rsidRPr="00CA451B">
        <w:rPr>
          <w:sz w:val="20"/>
          <w:szCs w:val="20"/>
        </w:rPr>
        <w:t xml:space="preserve"> </w:t>
      </w:r>
      <w:proofErr w:type="spellStart"/>
      <w:r w:rsidRPr="00CA451B">
        <w:rPr>
          <w:sz w:val="20"/>
          <w:szCs w:val="20"/>
        </w:rPr>
        <w:t>parameters</w:t>
      </w:r>
      <w:proofErr w:type="spellEnd"/>
      <w:r w:rsidRPr="00CA451B">
        <w:rPr>
          <w:sz w:val="20"/>
          <w:szCs w:val="20"/>
        </w:rPr>
        <w:t xml:space="preserve"> </w:t>
      </w:r>
      <w:proofErr w:type="spellStart"/>
      <w:r w:rsidRPr="00CA451B">
        <w:rPr>
          <w:sz w:val="20"/>
          <w:szCs w:val="20"/>
        </w:rPr>
        <w:t>either</w:t>
      </w:r>
      <w:proofErr w:type="spellEnd"/>
      <w:r w:rsidRPr="00CA451B">
        <w:rPr>
          <w:sz w:val="20"/>
          <w:szCs w:val="20"/>
        </w:rPr>
        <w:t>.</w:t>
      </w:r>
    </w:p>
    <w:p w14:paraId="193AF403" w14:textId="016BD57C" w:rsidR="00CA451B" w:rsidRPr="00CA451B" w:rsidRDefault="00CA451B" w:rsidP="00CA451B">
      <w:pPr>
        <w:pStyle w:val="ListParagraph"/>
        <w:numPr>
          <w:ilvl w:val="0"/>
          <w:numId w:val="38"/>
        </w:numPr>
        <w:rPr>
          <w:sz w:val="20"/>
          <w:szCs w:val="20"/>
        </w:rPr>
      </w:pPr>
      <w:r>
        <w:rPr>
          <w:sz w:val="20"/>
          <w:szCs w:val="20"/>
        </w:rPr>
        <w:t xml:space="preserve">It is </w:t>
      </w:r>
      <w:proofErr w:type="spellStart"/>
      <w:r>
        <w:rPr>
          <w:sz w:val="20"/>
          <w:szCs w:val="20"/>
        </w:rPr>
        <w:t>up</w:t>
      </w:r>
      <w:proofErr w:type="spellEnd"/>
      <w:r>
        <w:rPr>
          <w:sz w:val="20"/>
          <w:szCs w:val="20"/>
        </w:rPr>
        <w:t xml:space="preserve"> to RAN4 to </w:t>
      </w:r>
      <w:proofErr w:type="spellStart"/>
      <w:r>
        <w:rPr>
          <w:sz w:val="20"/>
          <w:szCs w:val="20"/>
        </w:rPr>
        <w:t>discuss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need</w:t>
      </w:r>
      <w:proofErr w:type="spellEnd"/>
      <w:r>
        <w:rPr>
          <w:sz w:val="20"/>
          <w:szCs w:val="20"/>
        </w:rPr>
        <w:t xml:space="preserve"> for </w:t>
      </w:r>
      <w:proofErr w:type="spellStart"/>
      <w:r>
        <w:rPr>
          <w:sz w:val="20"/>
          <w:szCs w:val="20"/>
        </w:rPr>
        <w:t>default</w:t>
      </w:r>
      <w:proofErr w:type="spellEnd"/>
      <w:r>
        <w:rPr>
          <w:sz w:val="20"/>
          <w:szCs w:val="20"/>
        </w:rPr>
        <w:t xml:space="preserve"> </w:t>
      </w:r>
      <w:proofErr w:type="spellStart"/>
      <w:r>
        <w:rPr>
          <w:sz w:val="20"/>
          <w:szCs w:val="20"/>
        </w:rPr>
        <w:t>setting</w:t>
      </w:r>
      <w:proofErr w:type="spellEnd"/>
      <w:r>
        <w:rPr>
          <w:sz w:val="20"/>
          <w:szCs w:val="20"/>
        </w:rPr>
        <w:t xml:space="preserve"> for </w:t>
      </w:r>
      <w:proofErr w:type="spellStart"/>
      <w:r>
        <w:rPr>
          <w:sz w:val="20"/>
          <w:szCs w:val="20"/>
        </w:rPr>
        <w:t>the</w:t>
      </w:r>
      <w:proofErr w:type="spellEnd"/>
      <w:r>
        <w:rPr>
          <w:sz w:val="20"/>
          <w:szCs w:val="20"/>
        </w:rPr>
        <w:t xml:space="preserve"> </w:t>
      </w:r>
      <w:proofErr w:type="spellStart"/>
      <w:r>
        <w:rPr>
          <w:sz w:val="20"/>
          <w:szCs w:val="20"/>
        </w:rPr>
        <w:t>parametes</w:t>
      </w:r>
      <w:proofErr w:type="spellEnd"/>
      <w:r>
        <w:rPr>
          <w:sz w:val="20"/>
          <w:szCs w:val="20"/>
        </w:rPr>
        <w:t xml:space="preserve"> </w:t>
      </w:r>
      <w:proofErr w:type="spellStart"/>
      <w:r>
        <w:rPr>
          <w:sz w:val="20"/>
          <w:szCs w:val="20"/>
        </w:rPr>
        <w:t>when</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configured</w:t>
      </w:r>
      <w:proofErr w:type="spellEnd"/>
    </w:p>
    <w:p w14:paraId="443630F5" w14:textId="77777777" w:rsidR="001661BA" w:rsidRDefault="001661BA" w:rsidP="001B215E"/>
    <w:p w14:paraId="360A3EB4" w14:textId="38E1070F" w:rsidR="003842D0" w:rsidRDefault="001661BA" w:rsidP="001B215E">
      <w:r>
        <w:t xml:space="preserve"> </w:t>
      </w:r>
    </w:p>
    <w:sectPr w:rsidR="003842D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141D8" w14:textId="77777777" w:rsidR="00590FAC" w:rsidRDefault="00590FAC">
      <w:r>
        <w:separator/>
      </w:r>
    </w:p>
  </w:endnote>
  <w:endnote w:type="continuationSeparator" w:id="0">
    <w:p w14:paraId="7C043C2D" w14:textId="77777777" w:rsidR="00590FAC" w:rsidRDefault="0059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22BC3" w14:textId="77777777" w:rsidR="00590FAC" w:rsidRDefault="00590FAC">
      <w:r>
        <w:separator/>
      </w:r>
    </w:p>
  </w:footnote>
  <w:footnote w:type="continuationSeparator" w:id="0">
    <w:p w14:paraId="2B272CEB" w14:textId="77777777" w:rsidR="00590FAC" w:rsidRDefault="00590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multilevel"/>
    <w:tmpl w:val="19BC67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E5DC8"/>
    <w:multiLevelType w:val="hybridMultilevel"/>
    <w:tmpl w:val="CA20D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2E6A9C"/>
    <w:multiLevelType w:val="multilevel"/>
    <w:tmpl w:val="6C2E6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9"/>
  </w:num>
  <w:num w:numId="3">
    <w:abstractNumId w:val="0"/>
  </w:num>
  <w:num w:numId="4">
    <w:abstractNumId w:val="2"/>
  </w:num>
  <w:num w:numId="5">
    <w:abstractNumId w:val="16"/>
  </w:num>
  <w:num w:numId="6">
    <w:abstractNumId w:val="30"/>
  </w:num>
  <w:num w:numId="7">
    <w:abstractNumId w:val="18"/>
  </w:num>
  <w:num w:numId="8">
    <w:abstractNumId w:val="15"/>
  </w:num>
  <w:num w:numId="9">
    <w:abstractNumId w:val="35"/>
  </w:num>
  <w:num w:numId="10">
    <w:abstractNumId w:val="4"/>
  </w:num>
  <w:num w:numId="11">
    <w:abstractNumId w:val="21"/>
  </w:num>
  <w:num w:numId="12">
    <w:abstractNumId w:val="3"/>
  </w:num>
  <w:num w:numId="13">
    <w:abstractNumId w:val="12"/>
  </w:num>
  <w:num w:numId="14">
    <w:abstractNumId w:val="25"/>
  </w:num>
  <w:num w:numId="15">
    <w:abstractNumId w:val="17"/>
  </w:num>
  <w:num w:numId="16">
    <w:abstractNumId w:val="1"/>
  </w:num>
  <w:num w:numId="17">
    <w:abstractNumId w:val="23"/>
  </w:num>
  <w:num w:numId="18">
    <w:abstractNumId w:val="13"/>
  </w:num>
  <w:num w:numId="19">
    <w:abstractNumId w:val="19"/>
  </w:num>
  <w:num w:numId="20">
    <w:abstractNumId w:val="34"/>
  </w:num>
  <w:num w:numId="21">
    <w:abstractNumId w:val="37"/>
  </w:num>
  <w:num w:numId="22">
    <w:abstractNumId w:val="22"/>
  </w:num>
  <w:num w:numId="23">
    <w:abstractNumId w:val="11"/>
  </w:num>
  <w:num w:numId="24">
    <w:abstractNumId w:val="6"/>
  </w:num>
  <w:num w:numId="25">
    <w:abstractNumId w:val="32"/>
  </w:num>
  <w:num w:numId="26">
    <w:abstractNumId w:val="28"/>
  </w:num>
  <w:num w:numId="27">
    <w:abstractNumId w:val="9"/>
  </w:num>
  <w:num w:numId="28">
    <w:abstractNumId w:val="8"/>
  </w:num>
  <w:num w:numId="29">
    <w:abstractNumId w:val="24"/>
  </w:num>
  <w:num w:numId="30">
    <w:abstractNumId w:val="36"/>
  </w:num>
  <w:num w:numId="31">
    <w:abstractNumId w:val="10"/>
  </w:num>
  <w:num w:numId="32">
    <w:abstractNumId w:val="27"/>
  </w:num>
  <w:num w:numId="33">
    <w:abstractNumId w:val="20"/>
  </w:num>
  <w:num w:numId="34">
    <w:abstractNumId w:val="31"/>
  </w:num>
  <w:num w:numId="35">
    <w:abstractNumId w:val="26"/>
  </w:num>
  <w:num w:numId="36">
    <w:abstractNumId w:val="33"/>
  </w:num>
  <w:num w:numId="37">
    <w:abstractNumId w:val="5"/>
  </w:num>
  <w:num w:numId="3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2F3B"/>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1BA"/>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215E"/>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BCD"/>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09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517"/>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42D0"/>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20"/>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0FAC"/>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4E5"/>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ED0"/>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2EE"/>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5DE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72A"/>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8F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65E7"/>
    <w:rsid w:val="00C36E34"/>
    <w:rsid w:val="00C400F0"/>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51B"/>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139"/>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2456"/>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BC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A938F6"/>
    <w:pPr>
      <w:overflowPunct/>
      <w:autoSpaceDE/>
      <w:autoSpaceDN/>
      <w:adjustRightInd/>
      <w:spacing w:after="100" w:afterAutospacing="1" w:line="288" w:lineRule="auto"/>
      <w:ind w:firstLine="360"/>
      <w:jc w:val="both"/>
      <w:textAlignment w:val="auto"/>
    </w:pPr>
    <w:rPr>
      <w:rFonts w:eastAsia="Times New Roman" w:cs="Batang"/>
    </w:rPr>
  </w:style>
  <w:style w:type="character" w:customStyle="1" w:styleId="0MaintextChar">
    <w:name w:val="0 Main text Char"/>
    <w:basedOn w:val="DefaultParagraphFont"/>
    <w:link w:val="0Maintext"/>
    <w:rsid w:val="00A938F6"/>
    <w:rPr>
      <w:rFonts w:ascii="Times New Roman" w:eastAsia="Times New Roman" w:hAnsi="Times New Roman" w:cs="Batang"/>
      <w:lang w:val="en-GB"/>
    </w:rPr>
  </w:style>
  <w:style w:type="character" w:customStyle="1" w:styleId="TALChar">
    <w:name w:val="TAL Char"/>
    <w:link w:val="TAL"/>
    <w:qFormat/>
    <w:rsid w:val="00A938F6"/>
    <w:rPr>
      <w:rFonts w:ascii="Arial" w:hAnsi="Arial"/>
      <w:sz w:val="18"/>
      <w:lang w:val="en-GB"/>
    </w:rPr>
  </w:style>
  <w:style w:type="character" w:customStyle="1" w:styleId="B2Char">
    <w:name w:val="B2 Char"/>
    <w:link w:val="B2"/>
    <w:qFormat/>
    <w:rsid w:val="00815DE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8-e/Docs/R1-220087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9-e/Docs/R1-2203038.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8-e/Docs/R1-22027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5AIRPNAIUNRU-1830940522-15010</_dlc_DocId>
    <_dlc_DocIdUrl xmlns="71c5aaf6-e6ce-465b-b873-5148d2a4c105">
      <Url>https://nokia.sharepoint.com/sites/c5g/5gradio/_layouts/15/DocIdRedir.aspx?ID=5AIRPNAIUNRU-1830940522-15010</Url>
      <Description>5AIRPNAIUNRU-1830940522-15010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558</TotalTime>
  <Pages>2</Pages>
  <Words>719</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10</cp:revision>
  <cp:lastPrinted>2016-06-20T11:35:00Z</cp:lastPrinted>
  <dcterms:created xsi:type="dcterms:W3CDTF">2022-03-24T13:25:00Z</dcterms:created>
  <dcterms:modified xsi:type="dcterms:W3CDTF">2022-04-25T13:20:00Z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0432d2c8-2f0e-41bb-b042-fc01e94a6f1c</vt:lpwstr>
  </property>
</Properties>
</file>